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《写作与沟通》（一）教学大纲</w:t>
      </w:r>
    </w:p>
    <w:p>
      <w:pPr>
        <w:jc w:val="center"/>
        <w:rPr>
          <w:rFonts w:ascii="宋体" w:hAnsi="宋体"/>
          <w:b/>
          <w:szCs w:val="21"/>
        </w:rPr>
      </w:pPr>
    </w:p>
    <w:p>
      <w:pPr>
        <w:spacing w:line="440" w:lineRule="exac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一、课程基本信息</w:t>
      </w:r>
    </w:p>
    <w:p>
      <w:pPr>
        <w:spacing w:line="440" w:lineRule="exact"/>
        <w:ind w:firstLine="42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课程名称（中文）：写作与沟通</w:t>
      </w:r>
    </w:p>
    <w:p>
      <w:pPr>
        <w:spacing w:line="440" w:lineRule="exact"/>
        <w:ind w:firstLine="42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（英文）：</w:t>
      </w:r>
      <w:r>
        <w:rPr>
          <w:rFonts w:ascii="宋体" w:hAnsi="宋体"/>
          <w:sz w:val="24"/>
          <w:szCs w:val="24"/>
        </w:rPr>
        <w:t>Writing and communication</w:t>
      </w:r>
    </w:p>
    <w:p>
      <w:pPr>
        <w:spacing w:line="440" w:lineRule="exact"/>
        <w:ind w:firstLine="420"/>
        <w:rPr>
          <w:rFonts w:ascii="黑体" w:hAnsi="黑体" w:eastAsia="黑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课程性质：</w:t>
      </w:r>
      <w:r>
        <w:rPr>
          <w:rFonts w:hint="eastAsia" w:ascii="黑体" w:hAnsi="黑体" w:eastAsia="黑体"/>
          <w:sz w:val="24"/>
          <w:szCs w:val="24"/>
        </w:rPr>
        <w:t xml:space="preserve"> 通识必修课</w:t>
      </w:r>
    </w:p>
    <w:p>
      <w:pPr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总学时：16（理论16学时）</w:t>
      </w:r>
    </w:p>
    <w:p>
      <w:pPr>
        <w:spacing w:line="440" w:lineRule="exact"/>
        <w:ind w:firstLine="465" w:firstLineChars="194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   分：1</w:t>
      </w:r>
    </w:p>
    <w:p>
      <w:pPr>
        <w:spacing w:line="440" w:lineRule="exact"/>
        <w:ind w:firstLine="470" w:firstLineChars="1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适用专业：全校所有专业</w:t>
      </w:r>
    </w:p>
    <w:p>
      <w:pPr>
        <w:spacing w:line="440" w:lineRule="exact"/>
        <w:ind w:firstLine="470" w:firstLineChars="196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先修课程： 无</w:t>
      </w:r>
    </w:p>
    <w:p>
      <w:pPr>
        <w:spacing w:line="440" w:lineRule="exact"/>
        <w:ind w:firstLine="470" w:firstLineChars="196"/>
        <w:rPr>
          <w:rFonts w:ascii="宋体" w:hAnsi="宋体"/>
          <w:szCs w:val="21"/>
        </w:rPr>
      </w:pPr>
      <w:r>
        <w:rPr>
          <w:rFonts w:hint="eastAsia" w:ascii="宋体" w:hAnsi="宋体"/>
          <w:sz w:val="24"/>
          <w:szCs w:val="24"/>
        </w:rPr>
        <w:t>授课学院：《写作与沟通》课程组、各学院</w:t>
      </w:r>
      <w:r>
        <w:rPr>
          <w:rFonts w:hint="eastAsia" w:ascii="宋体" w:hAnsi="宋体"/>
          <w:szCs w:val="21"/>
        </w:rPr>
        <w:t xml:space="preserve">   </w:t>
      </w:r>
    </w:p>
    <w:p>
      <w:pPr>
        <w:spacing w:line="440" w:lineRule="exac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二、</w:t>
      </w:r>
      <w:bookmarkStart w:id="0" w:name="_Hlk19776230"/>
      <w:r>
        <w:rPr>
          <w:rFonts w:hint="eastAsia" w:ascii="黑体" w:hAnsi="黑体" w:eastAsia="黑体"/>
          <w:b/>
          <w:sz w:val="28"/>
          <w:szCs w:val="28"/>
        </w:rPr>
        <w:t>课程简介</w:t>
      </w:r>
    </w:p>
    <w:p>
      <w:pPr>
        <w:spacing w:line="360" w:lineRule="auto"/>
        <w:ind w:firstLine="480" w:firstLineChars="20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本课程是一门研究写作和沟通的基本概念、基本原理、基本方法、基本规范的全</w:t>
      </w:r>
      <w:r>
        <w:rPr>
          <w:rFonts w:hint="eastAsia"/>
          <w:sz w:val="24"/>
          <w:szCs w:val="24"/>
        </w:rPr>
        <w:t>校通识基础必修课程。本课程主要内容包括结构性思维、高效沟通、应用文写作三个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方面。通过本课程的教学，让学生熟悉了解写作和沟通背后的思维逻辑，掌握应用文写作基本理论、基本方法、写作规范及沟通的基本技巧，提升</w:t>
      </w:r>
      <w:r>
        <w:rPr>
          <w:rFonts w:hint="eastAsia"/>
          <w:sz w:val="24"/>
          <w:szCs w:val="24"/>
        </w:rPr>
        <w:t>写作表达能力和有效沟通能力，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为今后进一步深入学习和工作打下坚实的基础。</w:t>
      </w:r>
      <w:bookmarkEnd w:id="0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6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E7E6E6" w:themeFill="background2"/>
          </w:tcPr>
          <w:p>
            <w:pPr>
              <w:spacing w:line="368" w:lineRule="exact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课程目标</w:t>
            </w:r>
          </w:p>
        </w:tc>
        <w:tc>
          <w:tcPr>
            <w:tcW w:w="6287" w:type="dxa"/>
            <w:shd w:val="clear" w:color="auto" w:fill="E7E6E6" w:themeFill="background2"/>
          </w:tcPr>
          <w:p>
            <w:pPr>
              <w:spacing w:line="368" w:lineRule="exact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具体内容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>
            <w:pPr>
              <w:spacing w:line="368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课程目标1</w:t>
            </w:r>
          </w:p>
        </w:tc>
        <w:tc>
          <w:tcPr>
            <w:tcW w:w="6287" w:type="dxa"/>
            <w:shd w:val="clear" w:color="auto" w:fill="auto"/>
          </w:tcPr>
          <w:p>
            <w:pPr>
              <w:spacing w:line="368" w:lineRule="exact"/>
              <w:rPr>
                <w:rFonts w:hint="default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学生能够阐述结构性思维的基本原则、沟通的基本原理与技巧以及几种应用文写作基本规范；能运用所学的原则、技巧、规范对常见的写作与沟通问题进行分析，能规范撰写几种主要的应用文或报告。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shd w:val="clear" w:color="auto" w:fill="auto"/>
          </w:tcPr>
          <w:p>
            <w:pPr>
              <w:spacing w:line="368" w:lineRule="exac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课程目标2</w:t>
            </w:r>
          </w:p>
        </w:tc>
        <w:tc>
          <w:tcPr>
            <w:tcW w:w="6287" w:type="dxa"/>
            <w:shd w:val="clear" w:color="auto" w:fill="auto"/>
          </w:tcPr>
          <w:p>
            <w:pPr>
              <w:spacing w:line="368" w:lineRule="exac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学生通过小组调研活动，增强团队合作意识、协作能力，合作完成撰写规范的调研报告。</w:t>
            </w:r>
          </w:p>
        </w:tc>
      </w:tr>
    </w:tbl>
    <w:p>
      <w:pPr>
        <w:spacing w:line="440" w:lineRule="exact"/>
        <w:rPr>
          <w:rFonts w:ascii="宋体" w:hAnsi="宋体"/>
          <w:b/>
          <w:sz w:val="24"/>
        </w:rPr>
      </w:pPr>
    </w:p>
    <w:p>
      <w:pPr>
        <w:spacing w:line="440" w:lineRule="exact"/>
        <w:rPr>
          <w:rFonts w:ascii="黑体" w:hAnsi="黑体" w:eastAsia="黑体"/>
          <w:iCs/>
          <w:color w:val="FF0000"/>
          <w:sz w:val="28"/>
          <w:szCs w:val="28"/>
        </w:rPr>
      </w:pPr>
      <w:bookmarkStart w:id="4" w:name="_GoBack"/>
      <w:r>
        <w:rPr>
          <w:rFonts w:hint="eastAsia" w:ascii="黑体" w:hAnsi="黑体" w:eastAsia="黑体"/>
          <w:b/>
          <w:sz w:val="28"/>
          <w:szCs w:val="28"/>
        </w:rPr>
        <w:t>三、</w:t>
      </w:r>
      <w:bookmarkStart w:id="1" w:name="_Hlk19776280"/>
      <w:r>
        <w:rPr>
          <w:rFonts w:hint="eastAsia" w:ascii="黑体" w:hAnsi="黑体" w:eastAsia="黑体"/>
          <w:b/>
          <w:sz w:val="28"/>
          <w:szCs w:val="28"/>
        </w:rPr>
        <w:t>课程目标及对毕业要求指标点的支撑</w:t>
      </w:r>
      <w:bookmarkEnd w:id="1"/>
    </w:p>
    <w:bookmarkEnd w:id="4"/>
    <w:tbl>
      <w:tblPr>
        <w:tblStyle w:val="5"/>
        <w:tblpPr w:leftFromText="180" w:rightFromText="180" w:vertAnchor="text" w:horzAnchor="page" w:tblpXSpec="center" w:tblpY="53"/>
        <w:tblOverlap w:val="never"/>
        <w:tblW w:w="4998" w:type="pct"/>
        <w:jc w:val="center"/>
        <w:tblLayout w:type="autofit"/>
        <w:tblCellMar>
          <w:top w:w="79" w:type="dxa"/>
          <w:left w:w="108" w:type="dxa"/>
          <w:bottom w:w="0" w:type="dxa"/>
          <w:right w:w="36" w:type="dxa"/>
        </w:tblCellMar>
      </w:tblPr>
      <w:tblGrid>
        <w:gridCol w:w="664"/>
        <w:gridCol w:w="1859"/>
        <w:gridCol w:w="5924"/>
      </w:tblGrid>
      <w:tr>
        <w:tblPrEx>
          <w:tblCellMar>
            <w:top w:w="79" w:type="dxa"/>
            <w:left w:w="108" w:type="dxa"/>
            <w:bottom w:w="0" w:type="dxa"/>
            <w:right w:w="36" w:type="dxa"/>
          </w:tblCellMar>
        </w:tblPrEx>
        <w:trPr>
          <w:trHeight w:val="337" w:hRule="atLeast"/>
          <w:jc w:val="center"/>
        </w:trPr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/>
            <w:vAlign w:val="center"/>
          </w:tcPr>
          <w:p>
            <w:pPr>
              <w:ind w:left="32"/>
              <w:rPr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序号 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/>
            <w:vAlign w:val="center"/>
          </w:tcPr>
          <w:p>
            <w:pPr>
              <w:ind w:right="72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课程目标 </w:t>
            </w:r>
          </w:p>
        </w:tc>
        <w:tc>
          <w:tcPr>
            <w:tcW w:w="3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EECE1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支撑毕业要求</w:t>
            </w:r>
            <w:r>
              <w:rPr>
                <w:rFonts w:hint="eastAsia" w:ascii="宋体" w:hAnsi="宋体" w:cs="宋体"/>
                <w:sz w:val="24"/>
                <w:szCs w:val="24"/>
              </w:rPr>
              <w:t>及</w:t>
            </w:r>
            <w:r>
              <w:rPr>
                <w:rFonts w:ascii="宋体" w:hAnsi="宋体" w:cs="宋体"/>
                <w:sz w:val="24"/>
                <w:szCs w:val="24"/>
              </w:rPr>
              <w:t xml:space="preserve">指标点 </w:t>
            </w:r>
          </w:p>
        </w:tc>
      </w:tr>
      <w:tr>
        <w:tblPrEx>
          <w:tblCellMar>
            <w:top w:w="79" w:type="dxa"/>
            <w:left w:w="108" w:type="dxa"/>
            <w:bottom w:w="0" w:type="dxa"/>
            <w:right w:w="36" w:type="dxa"/>
          </w:tblCellMar>
        </w:tblPrEx>
        <w:trPr>
          <w:trHeight w:val="479" w:hRule="atLeast"/>
          <w:jc w:val="center"/>
        </w:trPr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73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iCs/>
                <w:sz w:val="24"/>
                <w:szCs w:val="24"/>
              </w:rPr>
              <w:t>目标1</w:t>
            </w:r>
          </w:p>
        </w:tc>
        <w:tc>
          <w:tcPr>
            <w:tcW w:w="3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iCs/>
                <w:sz w:val="24"/>
                <w:szCs w:val="24"/>
              </w:rPr>
            </w:pPr>
            <w:r>
              <w:rPr>
                <w:rFonts w:hint="eastAsia"/>
                <w:iCs/>
                <w:sz w:val="24"/>
                <w:szCs w:val="24"/>
                <w:lang w:val="en-US" w:eastAsia="zh-CN"/>
              </w:rPr>
              <w:t>3.10</w:t>
            </w:r>
            <w:r>
              <w:rPr>
                <w:rFonts w:hint="eastAsia"/>
                <w:iCs/>
                <w:sz w:val="24"/>
                <w:szCs w:val="24"/>
              </w:rPr>
              <w:t>沟通：能够就复杂工程问题与业界同行及社会公众进行有效沟通和交流，包括撰写报告和设计文稿、陈述发言、清晰表达或回应指令，并具备一定的国际视野，能够在跨文化背景下进行沟通和交流。</w:t>
            </w:r>
          </w:p>
        </w:tc>
      </w:tr>
      <w:tr>
        <w:tblPrEx>
          <w:tblCellMar>
            <w:top w:w="79" w:type="dxa"/>
            <w:left w:w="108" w:type="dxa"/>
            <w:bottom w:w="0" w:type="dxa"/>
            <w:right w:w="36" w:type="dxa"/>
          </w:tblCellMar>
        </w:tblPrEx>
        <w:trPr>
          <w:trHeight w:val="496" w:hRule="atLeast"/>
          <w:jc w:val="center"/>
        </w:trPr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ind w:right="73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1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iCs/>
                <w:sz w:val="24"/>
                <w:szCs w:val="24"/>
              </w:rPr>
              <w:t>目标2</w:t>
            </w:r>
          </w:p>
        </w:tc>
        <w:tc>
          <w:tcPr>
            <w:tcW w:w="35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i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iCs/>
                <w:sz w:val="24"/>
                <w:szCs w:val="24"/>
                <w:highlight w:val="none"/>
              </w:rPr>
              <w:t>3.9.个人和团队：能够在多学科背景下的团队中承担个体、团队成员以及负责人的角色。</w:t>
            </w:r>
          </w:p>
        </w:tc>
      </w:tr>
    </w:tbl>
    <w:p>
      <w:pPr>
        <w:spacing w:line="440" w:lineRule="exact"/>
        <w:rPr>
          <w:rFonts w:ascii="宋体" w:hAnsi="宋体"/>
          <w:b/>
          <w:sz w:val="24"/>
        </w:rPr>
      </w:pPr>
    </w:p>
    <w:p>
      <w:pPr>
        <w:spacing w:line="440" w:lineRule="exact"/>
        <w:rPr>
          <w:rFonts w:ascii="黑体" w:hAnsi="黑体" w:eastAsia="黑体" w:cs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四、</w:t>
      </w:r>
      <w:bookmarkStart w:id="2" w:name="_Hlk19776296"/>
      <w:r>
        <w:rPr>
          <w:rFonts w:ascii="黑体" w:hAnsi="黑体" w:eastAsia="黑体" w:cs="黑体"/>
          <w:b/>
          <w:sz w:val="28"/>
          <w:szCs w:val="28"/>
        </w:rPr>
        <w:t>教学内容及进度安排</w:t>
      </w:r>
      <w:bookmarkEnd w:id="2"/>
    </w:p>
    <w:tbl>
      <w:tblPr>
        <w:tblStyle w:val="5"/>
        <w:tblpPr w:leftFromText="180" w:rightFromText="180" w:vertAnchor="text" w:horzAnchor="page" w:tblpX="1772" w:tblpY="61"/>
        <w:tblOverlap w:val="never"/>
        <w:tblW w:w="542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0"/>
        <w:gridCol w:w="2267"/>
        <w:gridCol w:w="1842"/>
        <w:gridCol w:w="586"/>
        <w:gridCol w:w="1131"/>
        <w:gridCol w:w="30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34" w:hRule="atLeast"/>
        </w:trPr>
        <w:tc>
          <w:tcPr>
            <w:tcW w:w="222" w:type="pct"/>
            <w:shd w:val="clear" w:color="auto" w:fill="auto"/>
            <w:vAlign w:val="center"/>
          </w:tcPr>
          <w:p>
            <w:pPr>
              <w:spacing w:after="25"/>
              <w:ind w:left="99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</w:t>
            </w:r>
          </w:p>
          <w:p>
            <w:pPr>
              <w:ind w:left="99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号</w:t>
            </w:r>
          </w:p>
        </w:tc>
        <w:tc>
          <w:tcPr>
            <w:tcW w:w="1226" w:type="pct"/>
            <w:shd w:val="clear" w:color="auto" w:fill="auto"/>
            <w:vAlign w:val="center"/>
          </w:tcPr>
          <w:p>
            <w:pPr>
              <w:ind w:right="26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教学内容</w:t>
            </w:r>
          </w:p>
        </w:tc>
        <w:tc>
          <w:tcPr>
            <w:tcW w:w="996" w:type="pct"/>
            <w:shd w:val="clear" w:color="auto" w:fill="auto"/>
            <w:vAlign w:val="center"/>
          </w:tcPr>
          <w:p>
            <w:pPr>
              <w:ind w:left="145" w:right="66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学生学习预期成果</w:t>
            </w:r>
          </w:p>
        </w:tc>
        <w:tc>
          <w:tcPr>
            <w:tcW w:w="317" w:type="pct"/>
            <w:shd w:val="clear" w:color="auto" w:fill="auto"/>
            <w:vAlign w:val="center"/>
          </w:tcPr>
          <w:p>
            <w:pPr>
              <w:ind w:left="64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课时</w:t>
            </w:r>
          </w:p>
        </w:tc>
        <w:tc>
          <w:tcPr>
            <w:tcW w:w="612" w:type="pct"/>
            <w:shd w:val="clear" w:color="auto" w:fill="auto"/>
            <w:vAlign w:val="center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教学方式</w:t>
            </w:r>
          </w:p>
        </w:tc>
        <w:tc>
          <w:tcPr>
            <w:tcW w:w="1624" w:type="pct"/>
            <w:shd w:val="clear" w:color="auto" w:fill="auto"/>
            <w:vAlign w:val="center"/>
          </w:tcPr>
          <w:p>
            <w:pPr>
              <w:ind w:left="100" w:right="20"/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对课程目标的支撑说明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756" w:hRule="atLeast"/>
        </w:trPr>
        <w:tc>
          <w:tcPr>
            <w:tcW w:w="222" w:type="pct"/>
            <w:shd w:val="clear" w:color="auto" w:fill="auto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1 </w:t>
            </w:r>
          </w:p>
        </w:tc>
        <w:tc>
          <w:tcPr>
            <w:tcW w:w="1226" w:type="pct"/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结构性思维</w:t>
            </w:r>
          </w:p>
          <w:p>
            <w:pPr>
              <w:pStyle w:val="9"/>
              <w:ind w:firstLine="0" w:firstLineChars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1.结构性思维的概念与金字塔结构模型</w:t>
            </w:r>
          </w:p>
          <w:p>
            <w:pPr>
              <w:pStyle w:val="9"/>
              <w:ind w:firstLine="0" w:firstLineChars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2.结构性思维的四大原则</w:t>
            </w:r>
          </w:p>
          <w:p>
            <w:pPr>
              <w:pStyle w:val="9"/>
              <w:ind w:firstLine="0" w:firstLineChars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3.结构性思维中的归纳与演绎</w:t>
            </w:r>
          </w:p>
          <w:p>
            <w:pPr>
              <w:pStyle w:val="9"/>
              <w:ind w:firstLine="0" w:firstLineChars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4、结构性思维在听、说、写方面的应用</w:t>
            </w:r>
          </w:p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重难点：理解结构性思维模型及逻辑结构，运用结构性思维模型进行思考、写作和沟通，提升逻辑思维能力</w:t>
            </w:r>
          </w:p>
        </w:tc>
        <w:tc>
          <w:tcPr>
            <w:tcW w:w="996" w:type="pct"/>
            <w:shd w:val="clear" w:color="auto" w:fill="auto"/>
          </w:tcPr>
          <w:p>
            <w:pPr>
              <w:spacing w:line="281" w:lineRule="auto"/>
              <w:ind w:left="1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理解结构性思维的概念、逻辑结构，应用结构性思维进行思考、写作及沟通，提高学生思考、表达及沟通的逻辑性及条理性</w:t>
            </w:r>
          </w:p>
        </w:tc>
        <w:tc>
          <w:tcPr>
            <w:tcW w:w="317" w:type="pct"/>
            <w:shd w:val="clear" w:color="auto" w:fill="auto"/>
          </w:tcPr>
          <w:p>
            <w:pPr>
              <w:ind w:left="1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4</w:t>
            </w:r>
          </w:p>
        </w:tc>
        <w:tc>
          <w:tcPr>
            <w:tcW w:w="612" w:type="pct"/>
            <w:shd w:val="clear" w:color="auto" w:fill="auto"/>
          </w:tcPr>
          <w:p>
            <w:pPr>
              <w:widowControl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课堂讲授</w:t>
            </w:r>
          </w:p>
          <w:p>
            <w:pPr>
              <w:widowControl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案例分析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 </w:t>
            </w:r>
          </w:p>
        </w:tc>
        <w:tc>
          <w:tcPr>
            <w:tcW w:w="1624" w:type="pct"/>
            <w:shd w:val="clear" w:color="auto" w:fill="auto"/>
          </w:tcPr>
          <w:p>
            <w:pPr>
              <w:ind w:left="1" w:right="14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目标1:</w:t>
            </w:r>
            <w:r>
              <w:rPr>
                <w:rFonts w:hint="eastAsia" w:ascii="宋体" w:hAnsi="宋体" w:eastAsia="宋体" w:cs="宋体"/>
                <w:szCs w:val="21"/>
              </w:rPr>
              <w:t>从结构性思维入手，让学生明白思考、书写表达及沟通的原理,提高逻辑思维能力；</w:t>
            </w:r>
          </w:p>
          <w:p>
            <w:pPr>
              <w:ind w:left="1" w:right="14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目标2：</w:t>
            </w:r>
            <w:r>
              <w:rPr>
                <w:rFonts w:hint="eastAsia" w:ascii="宋体" w:hAnsi="宋体" w:eastAsia="宋体" w:cs="宋体"/>
                <w:szCs w:val="21"/>
              </w:rPr>
              <w:t>应用“结构性思维”建立知识体系来写作和沟通，提高写作能力及有效沟通能力；</w:t>
            </w:r>
          </w:p>
          <w:p>
            <w:pPr>
              <w:ind w:left="1" w:right="14"/>
              <w:rPr>
                <w:rFonts w:ascii="宋体" w:hAnsi="宋体" w:eastAsia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2" w:hRule="atLeast"/>
        </w:trPr>
        <w:tc>
          <w:tcPr>
            <w:tcW w:w="222" w:type="pct"/>
            <w:shd w:val="clear" w:color="auto" w:fill="auto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226" w:type="pct"/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高效沟通</w:t>
            </w:r>
          </w:p>
          <w:p>
            <w:pPr>
              <w:pStyle w:val="9"/>
              <w:ind w:firstLine="0" w:firstLineChars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1.沟通的基本原理</w:t>
            </w:r>
          </w:p>
          <w:p>
            <w:pPr>
              <w:pStyle w:val="9"/>
              <w:ind w:firstLine="0" w:firstLineChars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2.提升沟通的技巧</w:t>
            </w:r>
          </w:p>
          <w:p>
            <w:pPr>
              <w:spacing w:line="281" w:lineRule="auto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3.情绪管理与人际沟通</w:t>
            </w:r>
          </w:p>
          <w:p>
            <w:pPr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重难点：掌握一些常用的表达方法与技巧；掌握表达训练方法并进行实践，提高有效表达与沟通能力。培养提升学生的情商，学会人际沟通。</w:t>
            </w:r>
          </w:p>
        </w:tc>
        <w:tc>
          <w:tcPr>
            <w:tcW w:w="996" w:type="pct"/>
            <w:shd w:val="clear" w:color="auto" w:fill="auto"/>
          </w:tcPr>
          <w:p>
            <w:pPr>
              <w:pStyle w:val="9"/>
              <w:ind w:firstLine="0" w:firstLineChars="0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理解沟通的思维与方法，学会自我情绪管理，掌握人际沟通中的礼仪规范，提升与社会公众及业界同行的表达沟通能力和人际交往能力。</w:t>
            </w:r>
          </w:p>
          <w:p>
            <w:pPr>
              <w:spacing w:line="281" w:lineRule="auto"/>
              <w:ind w:left="1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7" w:type="pct"/>
            <w:shd w:val="clear" w:color="auto" w:fill="auto"/>
          </w:tcPr>
          <w:p>
            <w:pPr>
              <w:ind w:left="1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4</w:t>
            </w:r>
          </w:p>
        </w:tc>
        <w:tc>
          <w:tcPr>
            <w:tcW w:w="612" w:type="pct"/>
            <w:shd w:val="clear" w:color="auto" w:fill="auto"/>
          </w:tcPr>
          <w:p>
            <w:pPr>
              <w:widowControl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课堂讲授</w:t>
            </w:r>
          </w:p>
          <w:p>
            <w:pPr>
              <w:widowControl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案例分析</w:t>
            </w:r>
          </w:p>
          <w:p>
            <w:pPr>
              <w:widowControl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情景模拟</w:t>
            </w:r>
          </w:p>
          <w:p>
            <w:pPr>
              <w:widowControl/>
              <w:rPr>
                <w:rFonts w:ascii="宋体" w:hAnsi="宋体" w:eastAsia="宋体" w:cs="宋体"/>
                <w:szCs w:val="21"/>
              </w:rPr>
            </w:pPr>
          </w:p>
          <w:p>
            <w:pPr>
              <w:widowControl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4" w:type="pct"/>
            <w:shd w:val="clear" w:color="auto" w:fill="auto"/>
          </w:tcPr>
          <w:p>
            <w:pPr>
              <w:ind w:right="14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目标2：</w:t>
            </w:r>
            <w:r>
              <w:rPr>
                <w:rFonts w:hint="eastAsia" w:ascii="宋体" w:hAnsi="宋体" w:eastAsia="宋体" w:cs="宋体"/>
                <w:szCs w:val="21"/>
              </w:rPr>
              <w:t>了解沟通的基本原理，人际沟通中的礼仪规范，提高与社会公众及业界同行有效表达和沟通能力</w:t>
            </w:r>
            <w:r>
              <w:rPr>
                <w:rFonts w:hint="eastAsia" w:ascii="宋体" w:hAnsi="宋体" w:eastAsia="宋体" w:cs="宋体"/>
                <w:iCs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222" w:type="pct"/>
            <w:shd w:val="clear" w:color="auto" w:fill="auto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226" w:type="pct"/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应用文写作</w:t>
            </w:r>
          </w:p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1.应用文概述与写作原则</w:t>
            </w:r>
          </w:p>
          <w:p>
            <w:r>
              <w:rPr>
                <w:rFonts w:hint="eastAsia"/>
              </w:rPr>
              <w:t>2、公务文书类写作：通知、报告、请示、函、纪要</w:t>
            </w:r>
          </w:p>
          <w:p>
            <w:r>
              <w:rPr>
                <w:rFonts w:hint="eastAsia"/>
              </w:rPr>
              <w:t>3、事务文书类写作：总结、计划、调查报告、新闻</w:t>
            </w:r>
          </w:p>
          <w:p>
            <w:r>
              <w:rPr>
                <w:rFonts w:hint="eastAsia"/>
              </w:rPr>
              <w:t>4、礼仪文书类写作：求职信、讲话稿</w:t>
            </w:r>
          </w:p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重难点：应用文写作的规范要求</w:t>
            </w:r>
          </w:p>
        </w:tc>
        <w:tc>
          <w:tcPr>
            <w:tcW w:w="996" w:type="pct"/>
            <w:shd w:val="clear" w:color="auto" w:fill="auto"/>
          </w:tcPr>
          <w:p>
            <w:pPr>
              <w:spacing w:line="281" w:lineRule="auto"/>
              <w:ind w:left="1"/>
              <w:rPr>
                <w:rFonts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能独立完成规范得体的常用公务文书、事务文书、礼仪文书的写作，具备与业界同行及社会公众进行书面有效沟通和交流的基本能力。 </w:t>
            </w:r>
          </w:p>
          <w:p>
            <w:pPr>
              <w:spacing w:line="281" w:lineRule="auto"/>
              <w:ind w:left="1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317" w:type="pct"/>
            <w:shd w:val="clear" w:color="auto" w:fill="auto"/>
          </w:tcPr>
          <w:p>
            <w:pPr>
              <w:ind w:left="1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8</w:t>
            </w:r>
          </w:p>
        </w:tc>
        <w:tc>
          <w:tcPr>
            <w:tcW w:w="612" w:type="pct"/>
            <w:shd w:val="clear" w:color="auto" w:fill="auto"/>
          </w:tcPr>
          <w:p>
            <w:pPr>
              <w:widowControl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课堂讲授</w:t>
            </w:r>
          </w:p>
          <w:p>
            <w:pPr>
              <w:ind w:left="1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小组讨论</w:t>
            </w:r>
          </w:p>
          <w:p>
            <w:pPr>
              <w:ind w:left="1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课后训练</w:t>
            </w:r>
          </w:p>
          <w:p>
            <w:pPr>
              <w:ind w:left="1"/>
              <w:rPr>
                <w:rFonts w:ascii="宋体" w:hAnsi="宋体" w:eastAsia="宋体" w:cs="宋体"/>
                <w:color w:val="FF0000"/>
                <w:szCs w:val="21"/>
              </w:rPr>
            </w:pPr>
          </w:p>
          <w:p>
            <w:pPr>
              <w:ind w:left="1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624" w:type="pct"/>
            <w:shd w:val="clear" w:color="auto" w:fill="auto"/>
          </w:tcPr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目标1：</w:t>
            </w:r>
            <w:r>
              <w:rPr>
                <w:rFonts w:hint="eastAsia" w:ascii="宋体" w:hAnsi="宋体" w:eastAsia="宋体" w:cs="宋体"/>
                <w:szCs w:val="21"/>
              </w:rPr>
              <w:t>学习应用文写作方法技巧，有意识地运用结构性思维思考、写作、沟通，提高逻辑思维能力。</w:t>
            </w:r>
          </w:p>
          <w:p>
            <w:pPr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目标2：</w:t>
            </w:r>
            <w:r>
              <w:rPr>
                <w:rFonts w:hint="eastAsia" w:ascii="宋体" w:hAnsi="宋体" w:eastAsia="宋体" w:cs="宋体"/>
                <w:szCs w:val="21"/>
              </w:rPr>
              <w:t>掌握写作和表达的基本概念、基本原理、基本方法、基本规范，学会在具体工作情境中进行规范得体的书面表达。培养学生写作沟通能力、终生学习的能力。</w:t>
            </w:r>
          </w:p>
        </w:tc>
      </w:tr>
    </w:tbl>
    <w:p>
      <w:pPr>
        <w:spacing w:line="440" w:lineRule="exact"/>
        <w:rPr>
          <w:rFonts w:ascii="楷体" w:hAnsi="楷体" w:eastAsia="楷体"/>
          <w:b/>
          <w:sz w:val="24"/>
        </w:rPr>
      </w:pP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注：“学生学习预期成果”是描述学生在学完本课程后应具有的能力，可以用记忆、理解、应用、分析、评判、创造等描述预期成果达到的程度。 </w:t>
      </w:r>
    </w:p>
    <w:p>
      <w:pPr>
        <w:rPr>
          <w:rFonts w:ascii="黑体" w:hAnsi="黑体" w:eastAsia="黑体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/>
          <w:b/>
          <w:color w:val="000000"/>
          <w:kern w:val="0"/>
          <w:sz w:val="28"/>
          <w:szCs w:val="28"/>
        </w:rPr>
        <w:t>五、考核方式及成绩评定</w:t>
      </w:r>
    </w:p>
    <w:p>
      <w:pPr>
        <w:adjustRightInd/>
        <w:snapToGrid/>
        <w:spacing w:before="120" w:after="120" w:line="400" w:lineRule="exact"/>
        <w:ind w:firstLine="0" w:firstLineChars="0"/>
        <w:jc w:val="both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（一）考核评价方式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平时成绩</w:t>
      </w:r>
      <w:r>
        <w:rPr>
          <w:rFonts w:hint="eastAsia"/>
          <w:sz w:val="24"/>
          <w:szCs w:val="24"/>
          <w:lang w:val="en-US" w:eastAsia="zh-CN"/>
        </w:rPr>
        <w:t>由课堂练习、上课态度、调查问卷3个部分组成（</w:t>
      </w:r>
      <w:r>
        <w:rPr>
          <w:rFonts w:hint="eastAsia"/>
          <w:sz w:val="24"/>
          <w:szCs w:val="24"/>
        </w:rPr>
        <w:t>占总成绩的60%）；考核成绩包括</w:t>
      </w:r>
      <w:r>
        <w:rPr>
          <w:rFonts w:hint="eastAsia"/>
          <w:sz w:val="24"/>
          <w:szCs w:val="24"/>
          <w:lang w:val="en-US" w:eastAsia="zh-CN"/>
        </w:rPr>
        <w:t>调研报告及标准化测试两部分</w:t>
      </w:r>
      <w:r>
        <w:rPr>
          <w:rFonts w:hint="eastAsia"/>
          <w:sz w:val="24"/>
          <w:szCs w:val="24"/>
        </w:rPr>
        <w:t>（占总成绩的40%）。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1483"/>
        <w:gridCol w:w="1621"/>
        <w:gridCol w:w="1887"/>
        <w:gridCol w:w="1217"/>
        <w:gridCol w:w="10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Merge w:val="restart"/>
            <w:vAlign w:val="center"/>
          </w:tcPr>
          <w:p>
            <w:pPr>
              <w:pStyle w:val="11"/>
              <w:adjustRightInd/>
              <w:snapToGrid/>
              <w:spacing w:line="320" w:lineRule="exact"/>
              <w:rPr>
                <w:rFonts w:ascii="宋体" w:hAnsi="宋体" w:eastAsia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 w:val="21"/>
                <w:szCs w:val="21"/>
              </w:rPr>
              <w:t>课程目标</w:t>
            </w:r>
          </w:p>
        </w:tc>
        <w:tc>
          <w:tcPr>
            <w:tcW w:w="870" w:type="pct"/>
            <w:vMerge w:val="restart"/>
            <w:vAlign w:val="center"/>
          </w:tcPr>
          <w:p>
            <w:pPr>
              <w:pStyle w:val="11"/>
              <w:adjustRightInd/>
              <w:snapToGrid/>
              <w:spacing w:line="320" w:lineRule="exact"/>
              <w:jc w:val="center"/>
              <w:rPr>
                <w:rFonts w:ascii="宋体" w:hAnsi="宋体" w:eastAsia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 w:val="21"/>
                <w:szCs w:val="21"/>
              </w:rPr>
              <w:t>支撑毕业要求</w:t>
            </w:r>
          </w:p>
          <w:p>
            <w:pPr>
              <w:pStyle w:val="11"/>
              <w:adjustRightInd/>
              <w:snapToGrid/>
              <w:spacing w:line="320" w:lineRule="exact"/>
              <w:jc w:val="center"/>
              <w:rPr>
                <w:rFonts w:ascii="宋体" w:hAnsi="宋体" w:eastAsia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1"/>
                <w:szCs w:val="21"/>
              </w:rPr>
              <w:t>指标点</w:t>
            </w:r>
          </w:p>
        </w:tc>
        <w:tc>
          <w:tcPr>
            <w:tcW w:w="2772" w:type="pct"/>
            <w:gridSpan w:val="3"/>
          </w:tcPr>
          <w:p>
            <w:pPr>
              <w:widowControl/>
              <w:adjustRightInd/>
              <w:snapToGrid/>
              <w:spacing w:line="320" w:lineRule="exact"/>
              <w:ind w:firstLine="420" w:firstLineChars="0"/>
              <w:jc w:val="center"/>
              <w:textAlignment w:val="center"/>
              <w:rPr>
                <w:rFonts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cs="Times New Roman"/>
                <w:b/>
                <w:bCs/>
                <w:sz w:val="21"/>
                <w:szCs w:val="21"/>
              </w:rPr>
              <w:t>评价方式及成绩比例（%）</w:t>
            </w:r>
          </w:p>
        </w:tc>
        <w:tc>
          <w:tcPr>
            <w:tcW w:w="645" w:type="pct"/>
            <w:vMerge w:val="restart"/>
            <w:vAlign w:val="center"/>
          </w:tcPr>
          <w:p>
            <w:pPr>
              <w:pStyle w:val="11"/>
              <w:adjustRightInd/>
              <w:snapToGrid/>
              <w:spacing w:line="320" w:lineRule="exact"/>
              <w:jc w:val="center"/>
              <w:rPr>
                <w:rFonts w:ascii="宋体" w:hAnsi="宋体" w:eastAsia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 w:val="21"/>
                <w:szCs w:val="21"/>
              </w:rPr>
              <w:t>成绩比例</w:t>
            </w:r>
          </w:p>
          <w:p>
            <w:pPr>
              <w:pStyle w:val="11"/>
              <w:adjustRightInd/>
              <w:snapToGrid/>
              <w:spacing w:line="320" w:lineRule="exact"/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 w:val="21"/>
                <w:szCs w:val="21"/>
              </w:rPr>
              <w:t>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711" w:type="pct"/>
            <w:vMerge w:val="continue"/>
          </w:tcPr>
          <w:p>
            <w:pPr>
              <w:pStyle w:val="11"/>
              <w:adjustRightInd/>
              <w:snapToGrid/>
              <w:spacing w:line="320" w:lineRule="exact"/>
              <w:ind w:firstLine="422"/>
              <w:rPr>
                <w:rFonts w:ascii="宋体" w:hAnsi="宋体" w:eastAsia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870" w:type="pct"/>
            <w:vMerge w:val="continue"/>
          </w:tcPr>
          <w:p>
            <w:pPr>
              <w:pStyle w:val="11"/>
              <w:adjustRightInd/>
              <w:snapToGrid/>
              <w:spacing w:line="320" w:lineRule="exact"/>
              <w:ind w:firstLine="422"/>
              <w:rPr>
                <w:rFonts w:ascii="宋体" w:hAnsi="宋体" w:eastAsia="宋体"/>
                <w:b/>
                <w:bCs/>
                <w:kern w:val="0"/>
                <w:sz w:val="21"/>
                <w:szCs w:val="21"/>
              </w:rPr>
            </w:pPr>
          </w:p>
        </w:tc>
        <w:tc>
          <w:tcPr>
            <w:tcW w:w="951" w:type="pct"/>
          </w:tcPr>
          <w:p>
            <w:pPr>
              <w:pStyle w:val="11"/>
              <w:adjustRightInd/>
              <w:snapToGrid/>
              <w:spacing w:line="320" w:lineRule="exact"/>
              <w:jc w:val="center"/>
              <w:rPr>
                <w:rFonts w:hint="default" w:ascii="宋体" w:hAnsi="宋体" w:eastAsia="宋体"/>
                <w:b/>
                <w:bCs/>
                <w:kern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1"/>
                <w:szCs w:val="21"/>
                <w:lang w:val="en-US" w:eastAsia="zh-CN"/>
              </w:rPr>
              <w:t>平时成绩（含课堂练习等）</w:t>
            </w:r>
          </w:p>
        </w:tc>
        <w:tc>
          <w:tcPr>
            <w:tcW w:w="1107" w:type="pct"/>
            <w:vAlign w:val="center"/>
          </w:tcPr>
          <w:p>
            <w:pPr>
              <w:pStyle w:val="11"/>
              <w:spacing w:line="320" w:lineRule="exact"/>
              <w:jc w:val="center"/>
              <w:rPr>
                <w:rFonts w:hint="default" w:ascii="宋体" w:hAnsi="宋体" w:eastAsia="宋体"/>
                <w:b/>
                <w:bCs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1"/>
                <w:szCs w:val="21"/>
                <w:lang w:val="en-US" w:eastAsia="zh-CN"/>
              </w:rPr>
              <w:t>期末客观题测试</w:t>
            </w:r>
          </w:p>
        </w:tc>
        <w:tc>
          <w:tcPr>
            <w:tcW w:w="714" w:type="pct"/>
            <w:vAlign w:val="center"/>
          </w:tcPr>
          <w:p>
            <w:pPr>
              <w:pStyle w:val="11"/>
              <w:adjustRightInd/>
              <w:snapToGrid/>
              <w:spacing w:line="320" w:lineRule="exact"/>
              <w:jc w:val="center"/>
              <w:rPr>
                <w:rFonts w:ascii="宋体" w:hAnsi="宋体" w:eastAsia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 w:val="21"/>
                <w:szCs w:val="21"/>
                <w:lang w:val="en-US" w:eastAsia="zh-CN"/>
              </w:rPr>
              <w:t>调研报告</w:t>
            </w:r>
          </w:p>
        </w:tc>
        <w:tc>
          <w:tcPr>
            <w:tcW w:w="645" w:type="pct"/>
            <w:vMerge w:val="continue"/>
          </w:tcPr>
          <w:p>
            <w:pPr>
              <w:pStyle w:val="11"/>
              <w:adjustRightInd/>
              <w:snapToGrid/>
              <w:spacing w:line="320" w:lineRule="exact"/>
              <w:rPr>
                <w:rFonts w:ascii="宋体" w:hAnsi="宋体" w:eastAsia="宋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</w:tcPr>
          <w:p>
            <w:pPr>
              <w:pStyle w:val="11"/>
              <w:adjustRightInd/>
              <w:snapToGrid/>
              <w:spacing w:line="320" w:lineRule="exac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kern w:val="0"/>
                <w:sz w:val="21"/>
                <w:szCs w:val="21"/>
              </w:rPr>
              <w:t>课程目标1</w:t>
            </w:r>
          </w:p>
        </w:tc>
        <w:tc>
          <w:tcPr>
            <w:tcW w:w="870" w:type="pct"/>
            <w:vAlign w:val="center"/>
          </w:tcPr>
          <w:p>
            <w:pPr>
              <w:pStyle w:val="11"/>
              <w:adjustRightInd/>
              <w:snapToGrid/>
              <w:spacing w:line="320" w:lineRule="exact"/>
              <w:jc w:val="center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10.沟通</w:t>
            </w:r>
          </w:p>
        </w:tc>
        <w:tc>
          <w:tcPr>
            <w:tcW w:w="951" w:type="pct"/>
          </w:tcPr>
          <w:p>
            <w:pPr>
              <w:pStyle w:val="11"/>
              <w:adjustRightInd/>
              <w:snapToGrid/>
              <w:spacing w:line="320" w:lineRule="exact"/>
              <w:jc w:val="center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107" w:type="pct"/>
          </w:tcPr>
          <w:p>
            <w:pPr>
              <w:pStyle w:val="11"/>
              <w:adjustRightInd/>
              <w:snapToGrid/>
              <w:spacing w:line="320" w:lineRule="exact"/>
              <w:jc w:val="center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14" w:type="pct"/>
          </w:tcPr>
          <w:p>
            <w:pPr>
              <w:pStyle w:val="11"/>
              <w:adjustRightInd/>
              <w:snapToGrid/>
              <w:spacing w:line="320" w:lineRule="exact"/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</w:p>
        </w:tc>
        <w:tc>
          <w:tcPr>
            <w:tcW w:w="645" w:type="pct"/>
          </w:tcPr>
          <w:p>
            <w:pPr>
              <w:pStyle w:val="11"/>
              <w:adjustRightInd/>
              <w:snapToGrid/>
              <w:spacing w:line="320" w:lineRule="exact"/>
              <w:jc w:val="center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</w:tcPr>
          <w:p>
            <w:pPr>
              <w:pStyle w:val="11"/>
              <w:adjustRightInd/>
              <w:snapToGrid/>
              <w:spacing w:line="320" w:lineRule="exact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</w:rPr>
              <w:t>课程目标2</w:t>
            </w:r>
          </w:p>
        </w:tc>
        <w:tc>
          <w:tcPr>
            <w:tcW w:w="870" w:type="pct"/>
            <w:vAlign w:val="center"/>
          </w:tcPr>
          <w:p>
            <w:pPr>
              <w:pStyle w:val="11"/>
              <w:adjustRightInd/>
              <w:snapToGrid/>
              <w:spacing w:line="320" w:lineRule="exact"/>
              <w:jc w:val="center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9.个人和团队</w:t>
            </w:r>
          </w:p>
        </w:tc>
        <w:tc>
          <w:tcPr>
            <w:tcW w:w="951" w:type="pct"/>
          </w:tcPr>
          <w:p>
            <w:pPr>
              <w:pStyle w:val="11"/>
              <w:adjustRightInd/>
              <w:snapToGrid/>
              <w:spacing w:line="320" w:lineRule="exact"/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</w:p>
        </w:tc>
        <w:tc>
          <w:tcPr>
            <w:tcW w:w="1107" w:type="pct"/>
          </w:tcPr>
          <w:p>
            <w:pPr>
              <w:pStyle w:val="11"/>
              <w:adjustRightInd/>
              <w:snapToGrid/>
              <w:spacing w:line="320" w:lineRule="exact"/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</w:p>
        </w:tc>
        <w:tc>
          <w:tcPr>
            <w:tcW w:w="714" w:type="pct"/>
          </w:tcPr>
          <w:p>
            <w:pPr>
              <w:pStyle w:val="11"/>
              <w:adjustRightInd/>
              <w:snapToGrid/>
              <w:spacing w:line="320" w:lineRule="exact"/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645" w:type="pct"/>
          </w:tcPr>
          <w:p>
            <w:pPr>
              <w:pStyle w:val="11"/>
              <w:adjustRightInd/>
              <w:snapToGrid/>
              <w:spacing w:line="320" w:lineRule="exact"/>
              <w:jc w:val="center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1" w:type="pct"/>
            <w:gridSpan w:val="2"/>
          </w:tcPr>
          <w:p>
            <w:pPr>
              <w:pStyle w:val="11"/>
              <w:adjustRightInd/>
              <w:snapToGrid/>
              <w:spacing w:line="320" w:lineRule="exact"/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ascii="宋体" w:hAnsi="宋体" w:eastAsia="宋体"/>
                <w:kern w:val="0"/>
                <w:sz w:val="21"/>
                <w:szCs w:val="21"/>
              </w:rPr>
              <w:t>合计</w:t>
            </w:r>
          </w:p>
        </w:tc>
        <w:tc>
          <w:tcPr>
            <w:tcW w:w="951" w:type="pct"/>
          </w:tcPr>
          <w:p>
            <w:pPr>
              <w:pStyle w:val="11"/>
              <w:adjustRightInd/>
              <w:snapToGrid/>
              <w:spacing w:line="320" w:lineRule="exact"/>
              <w:jc w:val="center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107" w:type="pct"/>
          </w:tcPr>
          <w:p>
            <w:pPr>
              <w:pStyle w:val="11"/>
              <w:adjustRightInd/>
              <w:snapToGrid/>
              <w:spacing w:line="320" w:lineRule="exact"/>
              <w:jc w:val="center"/>
              <w:rPr>
                <w:rFonts w:hint="default" w:ascii="宋体" w:hAnsi="宋体" w:eastAsia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14" w:type="pct"/>
          </w:tcPr>
          <w:p>
            <w:pPr>
              <w:pStyle w:val="11"/>
              <w:adjustRightInd/>
              <w:snapToGrid/>
              <w:spacing w:line="320" w:lineRule="exact"/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645" w:type="pct"/>
          </w:tcPr>
          <w:p>
            <w:pPr>
              <w:pStyle w:val="11"/>
              <w:adjustRightInd/>
              <w:snapToGrid/>
              <w:spacing w:line="320" w:lineRule="exact"/>
              <w:jc w:val="center"/>
              <w:rPr>
                <w:rFonts w:ascii="宋体" w:hAnsi="宋体" w:eastAsia="宋体"/>
                <w:kern w:val="0"/>
                <w:sz w:val="21"/>
                <w:szCs w:val="21"/>
              </w:rPr>
            </w:pPr>
          </w:p>
        </w:tc>
      </w:tr>
    </w:tbl>
    <w:p>
      <w:pPr>
        <w:pStyle w:val="3"/>
        <w:spacing w:line="320" w:lineRule="exact"/>
        <w:ind w:left="0" w:leftChars="0" w:right="-625" w:firstLine="0" w:firstLineChars="0"/>
        <w:jc w:val="both"/>
        <w:rPr>
          <w:rFonts w:ascii="宋体" w:hAnsi="宋体" w:eastAsia="宋体"/>
          <w:b w:val="0"/>
          <w:sz w:val="18"/>
          <w:szCs w:val="18"/>
        </w:rPr>
      </w:pPr>
      <w:r>
        <w:rPr>
          <w:rFonts w:ascii="宋体" w:hAnsi="宋体" w:eastAsia="宋体"/>
          <w:b w:val="0"/>
          <w:sz w:val="18"/>
          <w:szCs w:val="18"/>
        </w:rPr>
        <w:t>注：该表格中比例为课程整体成绩比</w:t>
      </w:r>
      <w:r>
        <w:rPr>
          <w:rFonts w:hint="eastAsia" w:ascii="宋体" w:hAnsi="宋体" w:eastAsia="宋体"/>
          <w:b w:val="0"/>
          <w:sz w:val="18"/>
          <w:szCs w:val="18"/>
        </w:rPr>
        <w:t>。</w:t>
      </w:r>
    </w:p>
    <w:p>
      <w:pPr>
        <w:numPr>
          <w:ilvl w:val="0"/>
          <w:numId w:val="1"/>
        </w:numPr>
        <w:adjustRightInd/>
        <w:snapToGrid/>
        <w:spacing w:before="120" w:after="120" w:line="400" w:lineRule="exact"/>
        <w:ind w:firstLine="0" w:firstLineChars="0"/>
        <w:jc w:val="both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成绩评价标准</w:t>
      </w:r>
    </w:p>
    <w:p>
      <w:pPr>
        <w:pStyle w:val="4"/>
        <w:widowControl/>
        <w:spacing w:beforeAutospacing="0" w:afterAutospacing="0" w:line="450" w:lineRule="atLeast"/>
        <w:jc w:val="center"/>
        <w:rPr>
          <w:rFonts w:ascii="黑体" w:hAnsi="黑体" w:eastAsia="黑体" w:cs="黑体"/>
          <w:color w:val="000000"/>
          <w:sz w:val="24"/>
          <w:szCs w:val="24"/>
        </w:rPr>
      </w:pPr>
      <w:r>
        <w:rPr>
          <w:rFonts w:hint="eastAsia" w:ascii="黑体" w:hAnsi="黑体" w:eastAsia="黑体" w:cs="黑体"/>
          <w:color w:val="000000"/>
          <w:sz w:val="24"/>
          <w:szCs w:val="24"/>
        </w:rPr>
        <w:t>《写作与沟通》结课调研报告评分标准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1900"/>
        <w:gridCol w:w="4596"/>
        <w:gridCol w:w="692"/>
        <w:gridCol w:w="7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" w:type="pc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bCs/>
                <w:kern w:val="0"/>
                <w:sz w:val="18"/>
                <w:szCs w:val="18"/>
                <w:lang w:val="en-US" w:eastAsia="zh-CN" w:bidi="ar-SA"/>
              </w:rPr>
              <w:t>项目</w:t>
            </w:r>
          </w:p>
        </w:tc>
        <w:tc>
          <w:tcPr>
            <w:tcW w:w="1115" w:type="pc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bCs/>
                <w:kern w:val="0"/>
                <w:sz w:val="18"/>
                <w:szCs w:val="18"/>
                <w:lang w:val="en-US" w:eastAsia="zh-CN" w:bidi="ar-SA"/>
              </w:rPr>
              <w:t>内容</w:t>
            </w:r>
          </w:p>
        </w:tc>
        <w:tc>
          <w:tcPr>
            <w:tcW w:w="2697" w:type="pc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bCs/>
                <w:kern w:val="0"/>
                <w:sz w:val="18"/>
                <w:szCs w:val="18"/>
                <w:lang w:val="en-US" w:eastAsia="zh-CN" w:bidi="ar-SA"/>
              </w:rPr>
              <w:t>评分标准</w:t>
            </w:r>
          </w:p>
        </w:tc>
        <w:tc>
          <w:tcPr>
            <w:tcW w:w="818" w:type="pct"/>
            <w:gridSpan w:val="2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bCs/>
                <w:kern w:val="0"/>
                <w:sz w:val="18"/>
                <w:szCs w:val="18"/>
                <w:lang w:val="en-US" w:eastAsia="zh-CN" w:bidi="ar-SA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369" w:type="pct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1115" w:type="pct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调研主题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（10分）</w:t>
            </w:r>
          </w:p>
        </w:tc>
        <w:tc>
          <w:tcPr>
            <w:tcW w:w="2697" w:type="pct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调研主题积极向上，明确、精炼；紧贴校园生活热点问题，具有调查研究的价值和意义。</w:t>
            </w:r>
          </w:p>
        </w:tc>
        <w:tc>
          <w:tcPr>
            <w:tcW w:w="406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好</w:t>
            </w:r>
          </w:p>
        </w:tc>
        <w:tc>
          <w:tcPr>
            <w:tcW w:w="412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9-10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369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15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97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06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一般</w:t>
            </w:r>
          </w:p>
        </w:tc>
        <w:tc>
          <w:tcPr>
            <w:tcW w:w="412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6-8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69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15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97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06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差</w:t>
            </w:r>
          </w:p>
        </w:tc>
        <w:tc>
          <w:tcPr>
            <w:tcW w:w="412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1-5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369" w:type="pct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1115" w:type="pct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调查报告主体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（35分）</w:t>
            </w:r>
          </w:p>
        </w:tc>
        <w:tc>
          <w:tcPr>
            <w:tcW w:w="2697" w:type="pct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体现金字塔原理的要求和结构性思维的结论先行原则，能够按照“发现问题、分析问题、解决问题”的思路撰写调研报告，逻辑清晰，层次结构清楚，内容翔实。</w:t>
            </w:r>
          </w:p>
        </w:tc>
        <w:tc>
          <w:tcPr>
            <w:tcW w:w="406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好</w:t>
            </w:r>
          </w:p>
        </w:tc>
        <w:tc>
          <w:tcPr>
            <w:tcW w:w="412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29-35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369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15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97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06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一般</w:t>
            </w:r>
          </w:p>
        </w:tc>
        <w:tc>
          <w:tcPr>
            <w:tcW w:w="412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18-28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369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15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97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06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差</w:t>
            </w:r>
          </w:p>
        </w:tc>
        <w:tc>
          <w:tcPr>
            <w:tcW w:w="412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10-17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69" w:type="pct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3</w:t>
            </w:r>
          </w:p>
        </w:tc>
        <w:tc>
          <w:tcPr>
            <w:tcW w:w="1115" w:type="pct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调查方法及数据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（15分）</w:t>
            </w:r>
          </w:p>
        </w:tc>
        <w:tc>
          <w:tcPr>
            <w:tcW w:w="2697" w:type="pct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调查方法正确，有详细的调查过程记录（例如：调研问卷、访谈记录等），在调查过程中能够体现运用沟通的方法和技巧，调查数据能够准确反映问题，且丰富可靠，数据统计整理清晰。</w:t>
            </w:r>
          </w:p>
        </w:tc>
        <w:tc>
          <w:tcPr>
            <w:tcW w:w="406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好</w:t>
            </w:r>
          </w:p>
        </w:tc>
        <w:tc>
          <w:tcPr>
            <w:tcW w:w="412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12-15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369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15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97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06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一般</w:t>
            </w:r>
          </w:p>
        </w:tc>
        <w:tc>
          <w:tcPr>
            <w:tcW w:w="412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9-11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369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15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97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06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差</w:t>
            </w:r>
          </w:p>
        </w:tc>
        <w:tc>
          <w:tcPr>
            <w:tcW w:w="412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1-8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369" w:type="pct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1115" w:type="pct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default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对策建议或经验分享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（25分）</w:t>
            </w:r>
          </w:p>
        </w:tc>
        <w:tc>
          <w:tcPr>
            <w:tcW w:w="2697" w:type="pct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default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针对问题找寻对策的表述清晰，对策具有操作性、可行性、可推广性；或总结的经验有一定的典型性，有参考借鉴意义。</w:t>
            </w:r>
          </w:p>
        </w:tc>
        <w:tc>
          <w:tcPr>
            <w:tcW w:w="406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好</w:t>
            </w:r>
          </w:p>
        </w:tc>
        <w:tc>
          <w:tcPr>
            <w:tcW w:w="412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18-25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369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15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97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06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一般</w:t>
            </w:r>
          </w:p>
        </w:tc>
        <w:tc>
          <w:tcPr>
            <w:tcW w:w="412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10-17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369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15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97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06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差</w:t>
            </w:r>
          </w:p>
        </w:tc>
        <w:tc>
          <w:tcPr>
            <w:tcW w:w="412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1-9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369" w:type="pct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1115" w:type="pct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书写规范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（10分）</w:t>
            </w:r>
          </w:p>
        </w:tc>
        <w:tc>
          <w:tcPr>
            <w:tcW w:w="2697" w:type="pct"/>
            <w:vMerge w:val="restar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报告写作结构清楚，符合应用文写作的规范，逻辑性强，语句通顺，无错别字。</w:t>
            </w:r>
          </w:p>
        </w:tc>
        <w:tc>
          <w:tcPr>
            <w:tcW w:w="406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好</w:t>
            </w:r>
          </w:p>
        </w:tc>
        <w:tc>
          <w:tcPr>
            <w:tcW w:w="412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9-10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369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15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97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06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一般</w:t>
            </w:r>
          </w:p>
        </w:tc>
        <w:tc>
          <w:tcPr>
            <w:tcW w:w="412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6-8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369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115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697" w:type="pct"/>
            <w:vMerge w:val="continue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06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差</w:t>
            </w:r>
          </w:p>
        </w:tc>
        <w:tc>
          <w:tcPr>
            <w:tcW w:w="412" w:type="pct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1-5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" w:type="pc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6</w:t>
            </w:r>
          </w:p>
        </w:tc>
        <w:tc>
          <w:tcPr>
            <w:tcW w:w="1115" w:type="pct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center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字数要求（5分）</w:t>
            </w:r>
          </w:p>
        </w:tc>
        <w:tc>
          <w:tcPr>
            <w:tcW w:w="3515" w:type="pct"/>
            <w:gridSpan w:val="3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jc w:val="left"/>
              <w:textAlignment w:val="auto"/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kern w:val="0"/>
                <w:sz w:val="18"/>
                <w:szCs w:val="18"/>
                <w:lang w:val="en-US" w:eastAsia="zh-CN" w:bidi="ar-SA"/>
              </w:rPr>
              <w:t>字数少于2000字，记为0分；2000字~4000字记为3~4分；4000字以上记为5分</w:t>
            </w:r>
          </w:p>
        </w:tc>
      </w:tr>
    </w:tbl>
    <w:p>
      <w:pPr>
        <w:pStyle w:val="4"/>
        <w:widowControl/>
        <w:spacing w:beforeAutospacing="0" w:afterAutospacing="0" w:line="450" w:lineRule="atLeast"/>
        <w:rPr>
          <w:rFonts w:ascii="微软雅黑" w:hAnsi="微软雅黑" w:eastAsia="微软雅黑" w:cs="微软雅黑"/>
          <w:b/>
          <w:bCs/>
          <w:color w:val="000000"/>
        </w:rPr>
      </w:pPr>
      <w:r>
        <w:rPr>
          <w:rFonts w:hint="eastAsia" w:ascii="微软雅黑" w:hAnsi="微软雅黑" w:eastAsia="微软雅黑" w:cs="微软雅黑"/>
          <w:b/>
          <w:bCs/>
          <w:color w:val="000000"/>
        </w:rPr>
        <w:t>报告有以下情况的，直接按不及格评定：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textAlignment w:val="auto"/>
        <w:rPr>
          <w:rFonts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选题消极，存在意识形态导向问题，理论脱离实际；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textAlignment w:val="auto"/>
        <w:rPr>
          <w:rFonts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没有进行实际的调查研究，调查数据造假；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textAlignment w:val="auto"/>
        <w:rPr>
          <w:rFonts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写作结构无逻辑，内容材料零乱，语言不通顺，语法错误较多，词不达意；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240" w:lineRule="auto"/>
        <w:textAlignment w:val="auto"/>
        <w:rPr>
          <w:rFonts w:ascii="微软雅黑" w:hAnsi="微软雅黑" w:eastAsia="微软雅黑" w:cs="微软雅黑"/>
          <w:color w:val="000000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sz w:val="21"/>
          <w:szCs w:val="21"/>
        </w:rPr>
        <w:t>有明显拼凑或网络下载抄袭痕迹，或出现与他人调研报告雷同现象。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3" w:line="252" w:lineRule="auto"/>
        <w:ind w:firstLine="0" w:firstLineChars="0"/>
        <w:jc w:val="left"/>
        <w:textAlignment w:val="auto"/>
        <w:rPr>
          <w:rFonts w:ascii="宋体" w:hAnsi="宋体" w:cs="宋体"/>
          <w:b/>
          <w:bCs/>
          <w:sz w:val="28"/>
          <w:szCs w:val="28"/>
        </w:rPr>
      </w:pPr>
      <w:bookmarkStart w:id="3" w:name="_Hlk19776328"/>
      <w:r>
        <w:rPr>
          <w:rFonts w:ascii="黑体" w:hAnsi="黑体" w:eastAsia="黑体" w:cs="黑体"/>
          <w:b/>
          <w:bCs/>
          <w:sz w:val="28"/>
          <w:szCs w:val="28"/>
        </w:rPr>
        <w:t>教材及参考资料</w:t>
      </w:r>
      <w:r>
        <w:rPr>
          <w:rFonts w:ascii="宋体" w:hAnsi="宋体" w:cs="宋体"/>
          <w:b/>
          <w:bCs/>
          <w:sz w:val="28"/>
          <w:szCs w:val="28"/>
        </w:rPr>
        <w:t xml:space="preserve"> </w:t>
      </w:r>
      <w:bookmarkEnd w:id="3"/>
    </w:p>
    <w:p>
      <w:pPr>
        <w:spacing w:after="33" w:line="400" w:lineRule="exact"/>
        <w:ind w:left="-5" w:hanging="1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1. 王琳 朱文浩.结构性思维.北京：中信出版社，2016</w:t>
      </w:r>
      <w:r>
        <w:rPr>
          <w:rFonts w:asciiTheme="minorEastAsia" w:hAnsiTheme="minorEastAsia" w:cstheme="minorEastAsia"/>
          <w:szCs w:val="21"/>
        </w:rPr>
        <w:t>.05.</w:t>
      </w:r>
    </w:p>
    <w:p>
      <w:pPr>
        <w:spacing w:after="33" w:line="400" w:lineRule="exact"/>
        <w:ind w:left="-5" w:hanging="10"/>
        <w:jc w:val="lef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2.</w:t>
      </w:r>
      <w:r>
        <w:rPr>
          <w:rFonts w:asciiTheme="minorEastAsia" w:hAnsiTheme="minorEastAsia" w:cstheme="minorEastAsia"/>
          <w:szCs w:val="21"/>
        </w:rPr>
        <w:t xml:space="preserve"> </w:t>
      </w: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常江，杨奇光编.口语表达基础.北京:中国传媒大学出版社,2017.03</w:t>
      </w:r>
    </w:p>
    <w:p>
      <w:pPr>
        <w:snapToGrid w:val="0"/>
        <w:spacing w:line="400" w:lineRule="exact"/>
        <w:jc w:val="left"/>
        <w:rPr>
          <w:rFonts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3. 张岩松、孟顺英.人际沟通与语言艺术.北京：清华大学出版社，2010.06</w:t>
      </w:r>
    </w:p>
    <w:p>
      <w:pPr>
        <w:snapToGrid w:val="0"/>
        <w:spacing w:line="400" w:lineRule="exact"/>
        <w:jc w:val="left"/>
        <w:rPr>
          <w:rFonts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4.</w:t>
      </w:r>
      <w:r>
        <w:rPr>
          <w:rFonts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cstheme="minorEastAsia"/>
          <w:szCs w:val="21"/>
        </w:rPr>
        <w:t>冯春，祝伟，淳于淼泠.公文写作(第二版).北京：北京大学出版社,2015.03.</w:t>
      </w:r>
    </w:p>
    <w:p>
      <w:pPr>
        <w:snapToGrid w:val="0"/>
        <w:spacing w:line="400" w:lineRule="exact"/>
        <w:jc w:val="left"/>
        <w:rPr>
          <w:rFonts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5. 孙秀秋，吴锡山.应用写作教程(第三版).北京:中国人民大学出版社2013.04.</w:t>
      </w:r>
    </w:p>
    <w:p>
      <w:pPr>
        <w:spacing w:line="400" w:lineRule="exact"/>
        <w:jc w:val="left"/>
        <w:rPr>
          <w:rFonts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10"/>
        <w:spacing w:line="440" w:lineRule="exact"/>
        <w:rPr>
          <w:rFonts w:ascii="宋体" w:hAnsi="宋体" w:eastAsia="宋体"/>
          <w:b/>
          <w:color w:val="auto"/>
        </w:rPr>
      </w:pPr>
    </w:p>
    <w:p>
      <w:pPr>
        <w:ind w:firstLine="361" w:firstLineChars="172"/>
        <w:rPr>
          <w:b/>
          <w:sz w:val="24"/>
        </w:rPr>
      </w:pPr>
      <w:r>
        <w:rPr>
          <w:rFonts w:hint="eastAsia" w:ascii="宋体" w:hAnsi="宋体"/>
          <w:szCs w:val="21"/>
        </w:rPr>
        <w:t xml:space="preserve">                                                  </w:t>
      </w:r>
      <w:r>
        <w:rPr>
          <w:rFonts w:ascii="宋体" w:hAnsi="宋体"/>
          <w:szCs w:val="21"/>
        </w:rPr>
        <w:t xml:space="preserve">  </w:t>
      </w:r>
      <w:r>
        <w:rPr>
          <w:rFonts w:hint="eastAsia"/>
          <w:b/>
          <w:sz w:val="24"/>
        </w:rPr>
        <w:t>执笔人：岳峰</w:t>
      </w:r>
      <w:r>
        <w:rPr>
          <w:b/>
          <w:sz w:val="24"/>
        </w:rPr>
        <w:t xml:space="preserve">         </w:t>
      </w:r>
    </w:p>
    <w:p>
      <w:pPr>
        <w:ind w:firstLine="5836" w:firstLineChars="2422"/>
        <w:rPr>
          <w:b/>
          <w:sz w:val="24"/>
        </w:rPr>
      </w:pPr>
      <w:r>
        <w:rPr>
          <w:rFonts w:hint="eastAsia"/>
          <w:b/>
          <w:sz w:val="24"/>
        </w:rPr>
        <w:t>审核批准人：</w:t>
      </w:r>
      <w:r>
        <w:rPr>
          <w:b/>
          <w:sz w:val="24"/>
        </w:rPr>
        <w:t xml:space="preserve">  </w:t>
      </w:r>
    </w:p>
    <w:p>
      <w:pPr>
        <w:ind w:firstLine="5783" w:firstLineChars="2400"/>
        <w:jc w:val="left"/>
        <w:rPr>
          <w:rFonts w:hint="default" w:eastAsiaTheme="minorEastAsia"/>
          <w:b/>
          <w:sz w:val="24"/>
          <w:lang w:val="en-US" w:eastAsia="zh-CN"/>
        </w:rPr>
      </w:pPr>
      <w:r>
        <w:rPr>
          <w:rFonts w:hint="eastAsia"/>
          <w:b/>
          <w:sz w:val="24"/>
        </w:rPr>
        <w:t>制（修）订时间</w:t>
      </w:r>
      <w:r>
        <w:rPr>
          <w:rFonts w:hint="eastAsia"/>
          <w:b/>
          <w:sz w:val="24"/>
          <w:lang w:val="en-US" w:eastAsia="zh-CN"/>
        </w:rPr>
        <w:t>2021.05</w:t>
      </w:r>
    </w:p>
    <w:p>
      <w:pPr>
        <w:jc w:val="left"/>
        <w:rPr>
          <w:b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.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90394F"/>
    <w:multiLevelType w:val="singleLevel"/>
    <w:tmpl w:val="BE90394F"/>
    <w:lvl w:ilvl="0" w:tentative="0">
      <w:start w:val="6"/>
      <w:numFmt w:val="chineseCounting"/>
      <w:suff w:val="nothing"/>
      <w:lvlText w:val="%1、"/>
      <w:lvlJc w:val="left"/>
      <w:rPr>
        <w:rFonts w:hint="eastAsia" w:ascii="黑体" w:hAnsi="黑体" w:eastAsia="黑体"/>
      </w:rPr>
    </w:lvl>
  </w:abstractNum>
  <w:abstractNum w:abstractNumId="1">
    <w:nsid w:val="55B73C79"/>
    <w:multiLevelType w:val="singleLevel"/>
    <w:tmpl w:val="55B73C7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10F8FF3"/>
    <w:multiLevelType w:val="singleLevel"/>
    <w:tmpl w:val="610F8FF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C60BF6"/>
    <w:rsid w:val="000B5E95"/>
    <w:rsid w:val="00320A9B"/>
    <w:rsid w:val="00864019"/>
    <w:rsid w:val="008C04AC"/>
    <w:rsid w:val="00B42B92"/>
    <w:rsid w:val="00D23F0E"/>
    <w:rsid w:val="00D63B3D"/>
    <w:rsid w:val="00E10A49"/>
    <w:rsid w:val="09EA33AB"/>
    <w:rsid w:val="0A24350E"/>
    <w:rsid w:val="10FB2DD8"/>
    <w:rsid w:val="229F2AEC"/>
    <w:rsid w:val="28F2288A"/>
    <w:rsid w:val="2FA86D99"/>
    <w:rsid w:val="4AB23441"/>
    <w:rsid w:val="50C60BF6"/>
    <w:rsid w:val="5F1C7D42"/>
    <w:rsid w:val="604A33D1"/>
    <w:rsid w:val="60C72D09"/>
    <w:rsid w:val="61A64817"/>
    <w:rsid w:val="65C40B7F"/>
    <w:rsid w:val="76941CCF"/>
    <w:rsid w:val="795115D7"/>
    <w:rsid w:val="7C2827E1"/>
    <w:rsid w:val="7C35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/>
    </w:pPr>
  </w:style>
  <w:style w:type="paragraph" w:styleId="3">
    <w:name w:val="Body Text"/>
    <w:basedOn w:val="1"/>
    <w:qFormat/>
    <w:uiPriority w:val="1"/>
    <w:pPr>
      <w:autoSpaceDE w:val="0"/>
      <w:autoSpaceDN w:val="0"/>
      <w:ind w:left="820"/>
    </w:pPr>
    <w:rPr>
      <w:rFonts w:ascii="微软雅黑" w:hAnsi="微软雅黑" w:eastAsia="微软雅黑" w:cs="微软雅黑"/>
      <w:b/>
      <w:bCs/>
      <w:kern w:val="0"/>
      <w:sz w:val="28"/>
      <w:szCs w:val="28"/>
      <w:lang w:val="zh-CN" w:bidi="zh-CN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qFormat/>
    <w:uiPriority w:val="0"/>
    <w:rPr>
      <w:sz w:val="21"/>
      <w:szCs w:val="21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" w:hAnsi="Calibri" w:eastAsia=".." w:cs="Times New Roman"/>
      <w:color w:val="000000"/>
      <w:sz w:val="24"/>
      <w:szCs w:val="24"/>
      <w:lang w:val="en-US" w:eastAsia="zh-CN" w:bidi="ar-SA"/>
    </w:rPr>
  </w:style>
  <w:style w:type="paragraph" w:customStyle="1" w:styleId="11">
    <w:name w:val="样式2"/>
    <w:basedOn w:val="2"/>
    <w:qFormat/>
    <w:uiPriority w:val="99"/>
    <w:pPr>
      <w:spacing w:line="400" w:lineRule="exact"/>
      <w:ind w:firstLine="0" w:firstLineChars="0"/>
    </w:pPr>
    <w:rPr>
      <w:rFonts w:ascii="Times New Roman" w:hAnsi="Times New Roman" w:eastAsia="黑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1721</Words>
  <Characters>294</Characters>
  <Lines>2</Lines>
  <Paragraphs>4</Paragraphs>
  <TotalTime>0</TotalTime>
  <ScaleCrop>false</ScaleCrop>
  <LinksUpToDate>false</LinksUpToDate>
  <CharactersWithSpaces>2011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2021-01-14T01:27:00Z</dcterms:created>
  <dc:creator>岳峰</dc:creator>
  <cp:lastModifiedBy>海蓝蓝</cp:lastModifiedBy>
  <cp:lastPrinted>2022-03-09T08:58:09Z</cp:lastPrinted>
  <dcterms:modified xsi:type="dcterms:W3CDTF">2022-03-09T09:21:58Z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A288C0D7986749FD8BCD4E750656841F</vt:lpwstr>
  </property>
</Properties>
</file>